
<file path=[Content_Types].xml><?xml version="1.0" encoding="utf-8"?>
<Types xmlns="http://schemas.openxmlformats.org/package/2006/content-types">
  <Default Extension="jpeg" ContentType="image/jpeg"/>
  <Default Extension="bin" ContentType="application/vnd.openxmlformats-officedocument.oleObjec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Relationship Id="rId2" Type="http://schemas.openxmlformats.org/officeDocument/2006/relationships/extended-properties" Target="docProps/app.xml"></Relationship><Relationship Id="rId3" Type="http://schemas.openxmlformats.org/officeDocument/2006/relationships/officeDocument" Target="word/document.xml"></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mc:Ignorable="w14 wp14">
  <w:body>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z w:val="20"/>
        </w:rPr>
        <w:drawing>
          <wp:inline distT="0" distB="0" distL="0" distR="0">
            <wp:extent cx="2817495" cy="1553845"/>
            <wp:effectExtent l="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Administrator/AppData/Roaming/JisuOffice/ETemp/13996_8569840/fImage6477791141.jpeg"/>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a:xfrm>
                      <a:off x="0" y="0"/>
                      <a:ext cx="2818130" cy="1554480"/>
                    </a:xfrm>
                    <a:prstGeom prst="rect"/>
                    <a:ln cap="flat"/>
                  </pic:spPr>
                </pic:pic>
              </a:graphicData>
            </a:graphic>
          </wp:inline>
        </w:drawing>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应用范围</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★流动型现场演出——大型体育场、舞台、音乐厅。</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★固定安装——多功能礼堂、运动场等。</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ab/>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技术特点</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◆双15”三分频高性能有源线性阵列音箱</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◆高声压 —— 最大声压: 136dB连续, 142dB峰值</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◆宽频响 —— 45Hz-18KHz  (±3dB)</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◆非常平滑的偏轴向频响 —— 可用角度达到 90° (-10dB)</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◆内置精密钢制快速吊装件，可调角度 0° -4.5°</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◆8Ω, 4x1100W功放，8个DSP预置程序</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详细说明</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ERIC(镭克) DVA1 是一款双15" 三分频线有源性阵列式全频音箱，很多应用场合可以不使用超低音音箱。它</w:t>
      </w:r>
      <w:r>
        <w:rPr>
          <w:spacing w:val="0"/>
          <w:vertAlign w:val="baseline"/>
          <w:b w:val="0"/>
          <w:color w:val="auto"/>
          <w:position w:val="0"/>
          <w:sz w:val="20"/>
          <w:szCs w:val="20"/>
          <w:smallCaps w:val="0"/>
          <w:rFonts w:ascii="Calibri" w:eastAsia="宋体" w:hAnsi="宋体" w:hint="default"/>
        </w:rPr>
        <w:t xml:space="preserve">采用了线性阵列技术和平面波导技术来达到最佳的动态效果。当需要极低频率时，可选用 DSW7118 来组</w:t>
      </w:r>
      <w:r>
        <w:rPr>
          <w:spacing w:val="0"/>
          <w:vertAlign w:val="baseline"/>
          <w:b w:val="0"/>
          <w:color w:val="auto"/>
          <w:position w:val="0"/>
          <w:sz w:val="20"/>
          <w:szCs w:val="20"/>
          <w:smallCaps w:val="0"/>
          <w:rFonts w:ascii="Calibri" w:eastAsia="宋体" w:hAnsi="宋体" w:hint="default"/>
        </w:rPr>
        <w:t>成一个无缝衔接的4分频系统。</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DVA1 的低频部分采用了2只 15",4" 音圈的大功率钕磁体单元。倒相式负载设计将DVA1的低频频响延伸</w:t>
      </w:r>
      <w:r>
        <w:rPr>
          <w:spacing w:val="0"/>
          <w:vertAlign w:val="baseline"/>
          <w:b w:val="0"/>
          <w:color w:val="auto"/>
          <w:position w:val="0"/>
          <w:sz w:val="20"/>
          <w:szCs w:val="20"/>
          <w:smallCaps w:val="0"/>
          <w:rFonts w:ascii="Calibri" w:eastAsia="宋体" w:hAnsi="宋体" w:hint="default"/>
        </w:rPr>
        <w:t>到单元低频下限更低的频点。DVA1的声学结构设计将号角的高效率优点和倒相式箱体的低频延伸性优点完</w:t>
      </w:r>
      <w:r>
        <w:rPr>
          <w:spacing w:val="0"/>
          <w:vertAlign w:val="baseline"/>
          <w:b w:val="0"/>
          <w:color w:val="auto"/>
          <w:position w:val="0"/>
          <w:sz w:val="20"/>
          <w:szCs w:val="20"/>
          <w:smallCaps w:val="0"/>
          <w:rFonts w:ascii="Calibri" w:eastAsia="宋体" w:hAnsi="宋体" w:hint="default"/>
        </w:rPr>
        <w:t>美的结合在一起。</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DVA1 的中频部分采用了4只 6.5",2" 音圈的钕磁体单元， 提供了高达104dB/1W/1M 的灵敏度。 平面排</w:t>
      </w:r>
      <w:r>
        <w:rPr>
          <w:spacing w:val="0"/>
          <w:vertAlign w:val="baseline"/>
          <w:b w:val="0"/>
          <w:color w:val="auto"/>
          <w:position w:val="0"/>
          <w:sz w:val="20"/>
          <w:szCs w:val="20"/>
          <w:smallCaps w:val="0"/>
          <w:rFonts w:ascii="Calibri" w:eastAsia="宋体" w:hAnsi="宋体" w:hint="default"/>
        </w:rPr>
        <w:t xml:space="preserve">列的结构， 极大地减少了系统的失真，创造了一个低曲率的波阵面。</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DVA1的高频部分采用了3只 3" 音圈钛膜钕磁单元。 采用精密等路径号角负载，将高频声频波形由球面</w:t>
      </w:r>
      <w:r>
        <w:rPr>
          <w:spacing w:val="0"/>
          <w:vertAlign w:val="baseline"/>
          <w:b w:val="0"/>
          <w:color w:val="auto"/>
          <w:position w:val="0"/>
          <w:sz w:val="20"/>
          <w:szCs w:val="20"/>
          <w:smallCaps w:val="0"/>
          <w:rFonts w:ascii="Calibri" w:eastAsia="宋体" w:hAnsi="宋体" w:hint="default"/>
        </w:rPr>
        <w:t xml:space="preserve">波转换为等相位平面波，极大减少了高频干涉效应，使远距离下声音清晰度大大提高。高达 112dB/1W/1M </w:t>
      </w:r>
      <w:r>
        <w:rPr>
          <w:spacing w:val="0"/>
          <w:vertAlign w:val="baseline"/>
          <w:b w:val="0"/>
          <w:color w:val="auto"/>
          <w:position w:val="0"/>
          <w:sz w:val="20"/>
          <w:szCs w:val="20"/>
          <w:smallCaps w:val="0"/>
          <w:rFonts w:ascii="Calibri" w:eastAsia="宋体" w:hAnsi="宋体" w:hint="default"/>
        </w:rPr>
        <w:t xml:space="preserve">的灵敏度，及高达142dB的峰值声压, 使ERIC DVA1能满足任何大型演出要求的动态范围。</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DVA1 箱体上装配有精密铝合金吊装系统，箱体与箱体的连接角度可调整箱体背部的连接杆在0°- 4.5°之间</w:t>
      </w:r>
      <w:r>
        <w:rPr>
          <w:spacing w:val="0"/>
          <w:vertAlign w:val="baseline"/>
          <w:b w:val="0"/>
          <w:color w:val="auto"/>
          <w:position w:val="0"/>
          <w:sz w:val="20"/>
          <w:szCs w:val="20"/>
          <w:smallCaps w:val="0"/>
          <w:rFonts w:ascii="Calibri" w:eastAsia="宋体" w:hAnsi="宋体" w:hint="default"/>
        </w:rPr>
        <w:t>任意调整，以满足不同场合的需求。</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DVA1 内置一个带8个DSP预置的4x1100W有源功放模组。</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技术参数</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型    号：VA 1</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类    型：双15" 三分频高性能线性阵列音箱</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频    响：35Hz-19KHz ( -3dB )</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承受功率：低频 : 2x600W 连续 , 2x2400W 峰值</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          中频 : 600W 连续 , 2400W 峰值 </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          高频 : 450W 连续 , 1800W 峰值 </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最大声压：低频 : 132dB 连续，138dB 峰值 </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          中频 : 136dB 连续，138dB 峰值  </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          高频 : 139dB 连续，147dB 峰值 </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灵 敏 度：LF : 102dB/1W/1M,</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          MF : 104dB/1W/1M,</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          HF : 112dB/1W/1M,</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标称阻抗：低频 : 2x8Ω,  中频 : 8Ω,  高频 : 24Ω </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覆盖角度：水平： 90° , 垂直：0°—4.5° ,  每 1.0°递进     </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驱 动 器：低音：2 x 15" ,  音圈直径 100mm , 钕磁体单元</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          中音：4 x 6.5" ,  音圈直径 50mm , 钕磁体单元</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          高音：3 x 3" , 音圈直径 75mm, 36mm 喉嘴, 钕磁体单元</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功放及DSP：8Ω, 4 x 1100W</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DSP 数字信号处理系统：32bit , 96KHz取样，8个工厂预设, RS485接口  </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信号输入：XLR 输入，XLR Link 输出</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电源输入：Neutrik PowerCom 输入， Link 输出, 80V-260V, 50/60Hz                                                    </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箱    体：18mm 桦木夹板</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表    面：黑色防水耐磨聚脲喷涂</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面    罩：铁网、内贴透气声学海棉</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吊 挂 件：激光加工精密钢制专用吊件</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尺    寸 ( H x W x D)：434 x 1342 x 505mm</w:t>
      </w:r>
    </w:p>
    <w:p>
      <w:pPr>
        <w:numPr>
          <w:ilvl w:val="0"/>
          <w:numId w:val="0"/>
        </w:numPr>
        <w:jc w:val="left"/>
        <w:spacing w:lineRule="auto" w:line="240" w:before="0" w:after="0"/>
        <w:ind w:right="0" w:left="0" w:firstLine="0"/>
        <w:rPr>
          <w:spacing w:val="0"/>
          <w:vertAlign w:val="baseline"/>
          <w:b w:val="0"/>
          <w:color w:val="auto"/>
          <w:position w:val="0"/>
          <w:sz w:val="20"/>
          <w:szCs w:val="20"/>
          <w:smallCaps w:val="0"/>
          <w:rFonts w:ascii="Calibri" w:eastAsia="宋体" w:hAnsi="宋体" w:hint="default"/>
        </w:rPr>
        <w:autoSpaceDE w:val="1"/>
        <w:autoSpaceDN w:val="1"/>
      </w:pPr>
      <w:r>
        <w:rPr>
          <w:spacing w:val="0"/>
          <w:vertAlign w:val="baseline"/>
          <w:b w:val="0"/>
          <w:color w:val="auto"/>
          <w:position w:val="0"/>
          <w:sz w:val="20"/>
          <w:szCs w:val="20"/>
          <w:smallCaps w:val="0"/>
          <w:rFonts w:ascii="Calibri" w:eastAsia="宋体" w:hAnsi="宋体" w:hint="default"/>
        </w:rPr>
        <w:t xml:space="preserve">重    量：98Kg</w:t>
      </w:r>
    </w:p>
    <w:sectPr>
      <w:pgSz w:w="11906" w:h="16838"/>
      <w:pgMar w:top="1440" w:left="1232" w:bottom="1440" w:right="1319" w:header="851" w:footer="992" w:gutter="0"/>
      <w:pgNumType w:fmt="decimal"/>
      <w:docGrid w:type="lines" w:linePitch="312" w:charSpace="0"/>
    </w:sectPr>
  </w:body>
</w:document>
</file>

<file path=word/fontTable.xml><?xml version="1.0" encoding="utf-8"?>
<w:fonts xmlns:r="http://schemas.openxmlformats.org/officeDocument/2006/relationships" xmlns:w="http://schemas.openxmlformats.org/wordprocessingml/2006/main">
  <w:font w:name="宋体">
    <w:panose1 w:val="020F0502020204030204"/>
    <w:charset w:val="0"/>
    <w:family w:val="mordern"/>
    <w:pitch w:val="variable"/>
    <w:sig w:usb0="A00002EF" w:usb1="4000207B" w:usb2="00000000" w:usb3="00000000" w:csb0="FFFFFFFF" w:csb1="00000000"/>
  </w:font>
  <w:font w:name="Calibri">
    <w:panose1 w:val="020F0502020204030204"/>
    <w:charset w:val="0"/>
    <w:family w:val="mordern"/>
    <w:pitch w:val="variable"/>
    <w:sig w:usb0="A00002EF" w:usb1="4000207B" w:usb2="00000000" w:usb3="00000000" w:csb0="FFFFFFFF" w:csb1="00000000"/>
  </w:font>
  <w:font w:name="Wingdings">
    <w:panose1 w:val="020F0502020204030204"/>
    <w:charset w:val="0"/>
    <w:family w:val="mordern"/>
    <w:pitch w:val="variable"/>
    <w:sig w:usb0="A00002EF" w:usb1="4000207B" w:usb2="00000000" w:usb3="00000000" w:csb0="FFFFFFFF" w:csb1="00000000"/>
  </w:font>
  <w:font w:name="Times New Roman">
    <w:panose1 w:val="020F0502020204030204"/>
    <w:charset w:val="0"/>
    <w:family w:val="mordern"/>
    <w:pitch w:val="variable"/>
    <w:sig w:usb0="A00002EF" w:usb1="4000207B" w:usb2="00000000" w:usb3="00000000" w:csb0="FFFFFFFF" w:csb1="00000000"/>
  </w:font>
  <w:font w:name="맑은 고딕">
    <w:panose1 w:val="020F0502020204030204"/>
    <w:charset w:val="0"/>
    <w:family w:val="mordern"/>
    <w:pitch w:val="variable"/>
    <w:sig w:usb0="A00002EF" w:usb1="4000207B" w:usb2="00000000" w:usb3="00000000" w:csb0="FFFFFF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w:abstractNum w:abstractNumId="0">
    <w:multiLevelType w:val="hybridMultilevel"/>
    <w:nsid w:val="2F000000"/>
    <w:tmpl w:val="1F000014"/>
    <w:lvl w:ilvl="0">
      <w:lvlJc w:val="left"/>
      <w:numFmt w:val="decimal"/>
      <w:start w:val="2"/>
      <w:suff w:val="nothing"/>
      <w:lvlText w:val="%1、"/>
    </w:lvl>
    <w:lvl w:ilvl="1">
      <w:lvlJc w:val="left"/>
      <w:numFmt w:val="decimal"/>
      <w:start w:val="2"/>
      <w:suff w:val="nothing"/>
      <w:lvlText w:val="%1、"/>
    </w:lvl>
    <w:lvl w:ilvl="2">
      <w:lvlJc w:val="left"/>
      <w:numFmt w:val="decimal"/>
      <w:start w:val="2"/>
      <w:suff w:val="nothing"/>
      <w:lvlText w:val="%1、"/>
    </w:lvl>
    <w:lvl w:ilvl="3">
      <w:lvlJc w:val="left"/>
      <w:numFmt w:val="decimal"/>
      <w:start w:val="2"/>
      <w:suff w:val="nothing"/>
      <w:lvlText w:val="%1、"/>
    </w:lvl>
    <w:lvl w:ilvl="4">
      <w:lvlJc w:val="left"/>
      <w:numFmt w:val="decimal"/>
      <w:start w:val="2"/>
      <w:suff w:val="nothing"/>
      <w:lvlText w:val="%1、"/>
    </w:lvl>
    <w:lvl w:ilvl="5">
      <w:lvlJc w:val="left"/>
      <w:numFmt w:val="decimal"/>
      <w:start w:val="2"/>
      <w:suff w:val="nothing"/>
      <w:lvlText w:val="%1、"/>
    </w:lvl>
    <w:lvl w:ilvl="6">
      <w:lvlJc w:val="left"/>
      <w:numFmt w:val="decimal"/>
      <w:start w:val="2"/>
      <w:suff w:val="nothing"/>
      <w:lvlText w:val="%1、"/>
    </w:lvl>
    <w:lvl w:ilvl="7">
      <w:lvlJc w:val="left"/>
      <w:numFmt w:val="decimal"/>
      <w:start w:val="2"/>
      <w:suff w:val="nothing"/>
      <w:lvlText w:val="%1、"/>
    </w:lvl>
    <w:lvl w:ilvl="8">
      <w:lvlJc w:val="left"/>
      <w:numFmt w:val="decimal"/>
      <w:start w:val="2"/>
      <w:suff w:val="nothing"/>
      <w:lvlText w:val="%1、"/>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avePreviewPicture/>
  <w:proofState w:spelling="clean" w:grammar="clean"/>
  <w:defaultTabStop w:val="420"/>
  <w:displayHorizontalDrawingGridEvery w:val="0"/>
  <w:displayVerticalDrawingGridEvery w:val="2"/>
  <w:characterSpacingControl w:val="compressPunctuation"/>
  <w:bordersDoNotSurroundHeader/>
  <w:bordersDoNotSurroundFooter/>
  <w:compat>
    <w:balanceSingleByteDoubleByteWidth/>
    <w:adjustLineHeightInTable/>
    <w:useFELayout/>
    <w:compatSetting w:name="compatibilityMode" w:uri="http://schemas.microsoft.com/office/word" w:val="15"/>
    <w:ulTrailSpace/>
  </w:compat>
  <m:mathPr>
    <m:mathFont m:value="Cambria Math"/>
    <m:brkBin m:value="before"/>
    <m:brkBinSub m:value="--"/>
    <m:smallFrac m:value="off"/>
    <m:dispDef/>
    <m:lMargin m:value="0"/>
    <m:rMargin m:value="0"/>
    <m:defJc m:value="centerGroup"/>
    <m:wrapIndent m:value="1440"/>
    <m:intLim m:value="subSup"/>
    <m:naryLim m:value="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w:docDefaults>
    <w:pPrDefault>
      <w:pPr>
        <w:autoSpaceDE w:val="1"/>
        <w:autoSpaceDN w:val="1"/>
        <w:widowControl/>
        <w:wordWrap/>
      </w:pPr>
    </w:pPrDefault>
    <w:rPrDefault>
      <w:rPr>
        <w:rFonts w:ascii="Calibri" w:eastAsia="宋体" w:hAnsi="Calibri"/>
        <w:shd w:val="clear"/>
        <w:sz w:val="20"/>
        <w:szCs w:val="20"/>
        <w:w w:val="100"/>
      </w:rPr>
    </w:rPrDefault>
  </w:docDefaults>
  <w:style w:default="1" w:styleId="PO1" w:type="paragraph">
    <w:name w:val="Normal"/>
    <w:qFormat/>
    <w:uiPriority w:val="1"/>
    <w:rPr>
      <w:rFonts w:ascii="宋体" w:eastAsia="宋体" w:hAnsi="宋体"/>
      <w:shd w:val="clear"/>
      <w:sz w:val="24"/>
      <w:szCs w:val="24"/>
      <w:w w:val="100"/>
    </w:rPr>
  </w:style>
  <w:style w:default="1" w:styleId="PO2" w:type="character">
    <w:name w:val="Default Paragraph Font"/>
    <w:uiPriority w:val="2"/>
    <w:semiHidden/>
    <w:unhideWhenUsed/>
  </w:style>
  <w:style w:default="1" w:styleId="PO3" w:type="table">
    <w:name w:val="Normal Table"/>
    <w:basedOn w:val="PO3"/>
    <w:uiPriority w:val="3"/>
    <w:tblPr>
      <w:tblCellMar>
        <w:bottom w:type="dxa" w:w="0"/>
        <w:left w:type="dxa" w:w="108"/>
        <w:right w:type="dxa" w:w="108"/>
        <w:top w:type="dxa" w:w="0"/>
      </w:tblCellMar>
      <w:tblInd w:type="dxa" w:w="0"/>
    </w:tblPr>
  </w:style>
  <w:style w:default="1" w:styleId="PO4" w:type="numbering">
    <w:name w:val="No List"/>
    <w:uiPriority w:val="4"/>
    <w:semiHidden/>
    <w:unhideWhenUsed/>
  </w:style>
  <w:style w:styleId="PO5" w:type="paragraph">
    <w:name w:val="No Spacing"/>
    <w:link w:val="PO-1"/>
    <w:qFormat/>
    <w:uiPriority w:val="5"/>
    <w:pPr>
      <w:autoSpaceDE w:val="1"/>
      <w:autoSpaceDN w:val="1"/>
      <w:jc w:val="both"/>
      <w:widowControl/>
      <w:wordWrap/>
    </w:pPr>
    <w:rPr>
      <w:shd w:val="clear"/>
      <w:sz w:val="21"/>
      <w:szCs w:val="21"/>
      <w:w w:val="100"/>
    </w:rPr>
  </w:style>
  <w:style w:styleId="PO6" w:type="paragraph">
    <w:name w:val="Title"/>
    <w:link w:val="PO-1"/>
    <w:qFormat/>
    <w:uiPriority w:val="6"/>
    <w:pPr>
      <w:autoSpaceDE w:val="1"/>
      <w:autoSpaceDN w:val="1"/>
      <w:jc w:val="center"/>
      <w:widowControl/>
      <w:wordWrap/>
    </w:pPr>
    <w:rPr>
      <w:b/>
      <w:shd w:val="clear"/>
      <w:sz w:val="32"/>
      <w:szCs w:val="32"/>
      <w:w w:val="100"/>
    </w:rPr>
  </w:style>
  <w:style w:styleId="PO7" w:type="paragraph">
    <w:name w:val="heading 1"/>
    <w:link w:val="PO-1"/>
    <w:qFormat/>
    <w:uiPriority w:val="7"/>
    <w:pPr>
      <w:autoSpaceDE w:val="1"/>
      <w:autoSpaceDN w:val="1"/>
      <w:jc w:val="both"/>
      <w:widowControl/>
      <w:wordWrap/>
    </w:pPr>
    <w:rPr>
      <w:shd w:val="clear"/>
      <w:sz w:val="28"/>
      <w:szCs w:val="28"/>
      <w:w w:val="100"/>
    </w:rPr>
  </w:style>
  <w:style w:styleId="PO8" w:type="paragraph">
    <w:name w:val="heading 2"/>
    <w:link w:val="PO-1"/>
    <w:qFormat/>
    <w:uiPriority w:val="8"/>
    <w:pPr>
      <w:autoSpaceDE w:val="1"/>
      <w:autoSpaceDN w:val="1"/>
      <w:jc w:val="both"/>
      <w:widowControl/>
      <w:wordWrap/>
    </w:pPr>
    <w:rPr>
      <w:shd w:val="clear"/>
      <w:sz w:val="21"/>
      <w:szCs w:val="21"/>
      <w:w w:val="100"/>
    </w:rPr>
  </w:style>
  <w:style w:styleId="PO9" w:type="paragraph">
    <w:name w:val="heading 3"/>
    <w:link w:val="PO-1"/>
    <w:qFormat/>
    <w:uiPriority w:val="9"/>
    <w:pPr>
      <w:autoSpaceDE w:val="1"/>
      <w:autoSpaceDN w:val="1"/>
      <w:ind w:left="1000" w:hanging="400"/>
      <w:jc w:val="both"/>
      <w:widowControl/>
      <w:wordWrap/>
    </w:pPr>
    <w:rPr>
      <w:shd w:val="clear"/>
      <w:sz w:val="21"/>
      <w:szCs w:val="21"/>
      <w:w w:val="100"/>
    </w:rPr>
  </w:style>
  <w:style w:styleId="PO10" w:type="paragraph">
    <w:name w:val="heading 4"/>
    <w:link w:val="PO-1"/>
    <w:qFormat/>
    <w:uiPriority w:val="10"/>
    <w:pPr>
      <w:autoSpaceDE w:val="1"/>
      <w:autoSpaceDN w:val="1"/>
      <w:ind w:left="1200" w:hanging="400"/>
      <w:jc w:val="both"/>
      <w:widowControl/>
      <w:wordWrap/>
    </w:pPr>
    <w:rPr>
      <w:b/>
      <w:shd w:val="clear"/>
      <w:sz w:val="21"/>
      <w:szCs w:val="21"/>
      <w:w w:val="100"/>
    </w:rPr>
  </w:style>
  <w:style w:styleId="PO11" w:type="paragraph">
    <w:name w:val="heading 5"/>
    <w:link w:val="PO-1"/>
    <w:qFormat/>
    <w:uiPriority w:val="11"/>
    <w:pPr>
      <w:autoSpaceDE w:val="1"/>
      <w:autoSpaceDN w:val="1"/>
      <w:ind w:left="1400" w:hanging="400"/>
      <w:jc w:val="both"/>
      <w:widowControl/>
      <w:wordWrap/>
    </w:pPr>
    <w:rPr>
      <w:shd w:val="clear"/>
      <w:sz w:val="21"/>
      <w:szCs w:val="21"/>
      <w:w w:val="100"/>
    </w:rPr>
  </w:style>
  <w:style w:styleId="PO12" w:type="paragraph">
    <w:name w:val="heading 6"/>
    <w:link w:val="PO-1"/>
    <w:qFormat/>
    <w:uiPriority w:val="12"/>
    <w:pPr>
      <w:autoSpaceDE w:val="1"/>
      <w:autoSpaceDN w:val="1"/>
      <w:ind w:left="1600" w:hanging="400"/>
      <w:jc w:val="both"/>
      <w:widowControl/>
      <w:wordWrap/>
    </w:pPr>
    <w:rPr>
      <w:b/>
      <w:shd w:val="clear"/>
      <w:sz w:val="21"/>
      <w:szCs w:val="21"/>
      <w:w w:val="100"/>
    </w:rPr>
  </w:style>
  <w:style w:styleId="PO13" w:type="paragraph">
    <w:name w:val="heading 7"/>
    <w:link w:val="PO-1"/>
    <w:qFormat/>
    <w:uiPriority w:val="13"/>
    <w:pPr>
      <w:autoSpaceDE w:val="1"/>
      <w:autoSpaceDN w:val="1"/>
      <w:ind w:left="1800" w:hanging="400"/>
      <w:jc w:val="both"/>
      <w:widowControl/>
      <w:wordWrap/>
    </w:pPr>
    <w:rPr>
      <w:shd w:val="clear"/>
      <w:sz w:val="21"/>
      <w:szCs w:val="21"/>
      <w:w w:val="100"/>
    </w:rPr>
  </w:style>
  <w:style w:styleId="PO14" w:type="paragraph">
    <w:name w:val="heading 8"/>
    <w:link w:val="PO-1"/>
    <w:qFormat/>
    <w:uiPriority w:val="14"/>
    <w:pPr>
      <w:autoSpaceDE w:val="1"/>
      <w:autoSpaceDN w:val="1"/>
      <w:ind w:left="2000" w:hanging="400"/>
      <w:jc w:val="both"/>
      <w:widowControl/>
      <w:wordWrap/>
    </w:pPr>
    <w:rPr>
      <w:shd w:val="clear"/>
      <w:sz w:val="21"/>
      <w:szCs w:val="21"/>
      <w:w w:val="100"/>
    </w:rPr>
  </w:style>
  <w:style w:styleId="PO15" w:type="paragraph">
    <w:name w:val="heading 9"/>
    <w:link w:val="PO-1"/>
    <w:qFormat/>
    <w:uiPriority w:val="15"/>
    <w:pPr>
      <w:autoSpaceDE w:val="1"/>
      <w:autoSpaceDN w:val="1"/>
      <w:ind w:left="2200" w:hanging="400"/>
      <w:jc w:val="both"/>
      <w:widowControl/>
      <w:wordWrap/>
    </w:pPr>
    <w:rPr>
      <w:shd w:val="clear"/>
      <w:sz w:val="21"/>
      <w:szCs w:val="21"/>
      <w:w w:val="100"/>
    </w:rPr>
  </w:style>
  <w:style w:styleId="PO16" w:type="paragraph">
    <w:name w:val="Subtitle"/>
    <w:link w:val="PO-1"/>
    <w:qFormat/>
    <w:uiPriority w:val="16"/>
    <w:pPr>
      <w:autoSpaceDE w:val="1"/>
      <w:autoSpaceDN w:val="1"/>
      <w:jc w:val="center"/>
      <w:widowControl/>
      <w:wordWrap/>
    </w:pPr>
    <w:rPr>
      <w:shd w:val="clear"/>
      <w:sz w:val="24"/>
      <w:szCs w:val="24"/>
      <w:w w:val="100"/>
    </w:rPr>
  </w:style>
  <w:style w:styleId="PO17" w:type="character">
    <w:name w:val="Subtle Emphasis"/>
    <w:qFormat/>
    <w:uiPriority w:val="17"/>
    <w:rPr>
      <w:color w:val="404040"/>
      <w:i/>
      <w:shd w:val="clear"/>
      <w:sz w:val="21"/>
      <w:szCs w:val="21"/>
      <w:w w:val="100"/>
    </w:rPr>
  </w:style>
  <w:style w:styleId="PO18" w:type="character">
    <w:name w:val="Emphasis"/>
    <w:qFormat/>
    <w:uiPriority w:val="18"/>
    <w:rPr>
      <w:i/>
      <w:shd w:val="clear"/>
      <w:sz w:val="21"/>
      <w:szCs w:val="21"/>
      <w:w w:val="100"/>
    </w:rPr>
  </w:style>
  <w:style w:styleId="PO19" w:type="character">
    <w:name w:val="Intense Emphasis"/>
    <w:qFormat/>
    <w:uiPriority w:val="19"/>
    <w:rPr>
      <w:color w:val="5B9BD5"/>
      <w:i/>
      <w:shd w:val="clear"/>
      <w:sz w:val="21"/>
      <w:szCs w:val="21"/>
      <w:w w:val="100"/>
    </w:rPr>
  </w:style>
  <w:style w:styleId="PO20" w:type="character">
    <w:name w:val="Strong"/>
    <w:qFormat/>
    <w:uiPriority w:val="20"/>
    <w:rPr>
      <w:b/>
      <w:shd w:val="clear"/>
      <w:sz w:val="21"/>
      <w:szCs w:val="21"/>
      <w:w w:val="100"/>
    </w:rPr>
  </w:style>
  <w:style w:styleId="PO21" w:type="paragraph">
    <w:name w:val="Quote"/>
    <w:link w:val="PO-1"/>
    <w:qFormat/>
    <w:uiPriority w:val="21"/>
    <w:pPr>
      <w:autoSpaceDE w:val="1"/>
      <w:autoSpaceDN w:val="1"/>
      <w:ind w:left="864" w:right="864" w:firstLine="0"/>
      <w:jc w:val="center"/>
      <w:widowControl/>
      <w:wordWrap/>
    </w:pPr>
    <w:rPr>
      <w:color w:val="404040"/>
      <w:i/>
      <w:shd w:val="clear"/>
      <w:sz w:val="21"/>
      <w:szCs w:val="21"/>
      <w:w w:val="100"/>
    </w:rPr>
  </w:style>
  <w:style w:styleId="PO22" w:type="paragraph">
    <w:name w:val="Intense Quote"/>
    <w:link w:val="PO-1"/>
    <w:qFormat/>
    <w:uiPriority w:val="22"/>
    <w:pPr>
      <w:autoSpaceDE w:val="1"/>
      <w:autoSpaceDN w:val="1"/>
      <w:ind w:left="950" w:right="950" w:firstLine="0"/>
      <w:jc w:val="center"/>
      <w:widowControl/>
      <w:wordWrap/>
    </w:pPr>
    <w:rPr>
      <w:color w:val="5B9BD5"/>
      <w:i/>
      <w:shd w:val="clear"/>
      <w:sz w:val="21"/>
      <w:szCs w:val="21"/>
      <w:w w:val="100"/>
    </w:rPr>
  </w:style>
  <w:style w:styleId="PO23" w:type="character">
    <w:name w:val="Subtle Reference"/>
    <w:qFormat/>
    <w:uiPriority w:val="23"/>
    <w:rPr>
      <w:color w:val="5A5A5A"/>
      <w:shd w:val="clear"/>
      <w:smallCaps/>
      <w:sz w:val="21"/>
      <w:szCs w:val="21"/>
      <w:w w:val="100"/>
    </w:rPr>
  </w:style>
  <w:style w:styleId="PO24" w:type="character">
    <w:name w:val="Intense Reference"/>
    <w:qFormat/>
    <w:uiPriority w:val="24"/>
    <w:rPr>
      <w:color w:val="5B9BD5"/>
      <w:b/>
      <w:shd w:val="clear"/>
      <w:smallCaps/>
      <w:sz w:val="21"/>
      <w:szCs w:val="21"/>
      <w:w w:val="100"/>
    </w:rPr>
  </w:style>
  <w:style w:styleId="PO25" w:type="character">
    <w:name w:val="Book Title"/>
    <w:qFormat/>
    <w:uiPriority w:val="25"/>
    <w:rPr>
      <w:i/>
      <w:b/>
      <w:shd w:val="clear"/>
      <w:sz w:val="21"/>
      <w:szCs w:val="21"/>
      <w:w w:val="100"/>
    </w:rPr>
  </w:style>
  <w:style w:styleId="PO26" w:type="paragraph">
    <w:name w:val="List Paragraph"/>
    <w:link w:val="PO-1"/>
    <w:qFormat/>
    <w:uiPriority w:val="26"/>
    <w:pPr>
      <w:autoSpaceDE w:val="1"/>
      <w:autoSpaceDN w:val="1"/>
      <w:ind w:left="850" w:firstLine="0"/>
      <w:jc w:val="both"/>
      <w:widowControl/>
      <w:wordWrap/>
    </w:pPr>
    <w:rPr>
      <w:shd w:val="clear"/>
      <w:sz w:val="21"/>
      <w:szCs w:val="21"/>
      <w:w w:val="100"/>
    </w:rPr>
  </w:style>
  <w:style w:styleId="PO27" w:type="paragraph">
    <w:name w:val="TOC Heading"/>
    <w:link w:val="PO-1"/>
    <w:qFormat/>
    <w:uiPriority w:val="27"/>
    <w:unhideWhenUsed/>
    <w:pPr>
      <w:autoSpaceDE w:val="1"/>
      <w:autoSpaceDN w:val="1"/>
      <w:widowControl/>
      <w:wordWrap/>
    </w:pPr>
    <w:rPr>
      <w:color w:val="2E74B5"/>
      <w:shd w:val="clear"/>
      <w:sz w:val="32"/>
      <w:szCs w:val="32"/>
      <w:w w:val="100"/>
    </w:rPr>
  </w:style>
  <w:style w:styleId="PO28" w:type="paragraph">
    <w:name w:val="toc 1"/>
    <w:link w:val="PO-1"/>
    <w:qFormat/>
    <w:uiPriority w:val="28"/>
    <w:unhideWhenUsed/>
    <w:pPr>
      <w:autoSpaceDE w:val="1"/>
      <w:autoSpaceDN w:val="1"/>
      <w:jc w:val="both"/>
      <w:widowControl/>
      <w:wordWrap/>
    </w:pPr>
    <w:rPr>
      <w:shd w:val="clear"/>
      <w:sz w:val="21"/>
      <w:szCs w:val="21"/>
      <w:w w:val="100"/>
    </w:rPr>
  </w:style>
  <w:style w:styleId="PO29" w:type="paragraph">
    <w:name w:val="toc 2"/>
    <w:link w:val="PO-1"/>
    <w:qFormat/>
    <w:uiPriority w:val="29"/>
    <w:unhideWhenUsed/>
    <w:pPr>
      <w:autoSpaceDE w:val="1"/>
      <w:autoSpaceDN w:val="1"/>
      <w:ind w:left="425" w:firstLine="0"/>
      <w:jc w:val="both"/>
      <w:widowControl/>
      <w:wordWrap/>
    </w:pPr>
    <w:rPr>
      <w:shd w:val="clear"/>
      <w:sz w:val="21"/>
      <w:szCs w:val="21"/>
      <w:w w:val="100"/>
    </w:rPr>
  </w:style>
  <w:style w:styleId="PO30" w:type="paragraph">
    <w:name w:val="toc 3"/>
    <w:link w:val="PO-1"/>
    <w:qFormat/>
    <w:uiPriority w:val="30"/>
    <w:unhideWhenUsed/>
    <w:pPr>
      <w:autoSpaceDE w:val="1"/>
      <w:autoSpaceDN w:val="1"/>
      <w:ind w:left="850" w:firstLine="0"/>
      <w:jc w:val="both"/>
      <w:widowControl/>
      <w:wordWrap/>
    </w:pPr>
    <w:rPr>
      <w:shd w:val="clear"/>
      <w:sz w:val="21"/>
      <w:szCs w:val="21"/>
      <w:w w:val="100"/>
    </w:rPr>
  </w:style>
  <w:style w:styleId="PO31" w:type="paragraph">
    <w:name w:val="toc 4"/>
    <w:link w:val="PO-1"/>
    <w:qFormat/>
    <w:uiPriority w:val="31"/>
    <w:unhideWhenUsed/>
    <w:pPr>
      <w:autoSpaceDE w:val="1"/>
      <w:autoSpaceDN w:val="1"/>
      <w:ind w:left="1275" w:firstLine="0"/>
      <w:jc w:val="both"/>
      <w:widowControl/>
      <w:wordWrap/>
    </w:pPr>
    <w:rPr>
      <w:shd w:val="clear"/>
      <w:sz w:val="21"/>
      <w:szCs w:val="21"/>
      <w:w w:val="100"/>
    </w:rPr>
  </w:style>
  <w:style w:styleId="PO32" w:type="paragraph">
    <w:name w:val="toc 5"/>
    <w:link w:val="PO-1"/>
    <w:qFormat/>
    <w:uiPriority w:val="32"/>
    <w:unhideWhenUsed/>
    <w:pPr>
      <w:autoSpaceDE w:val="1"/>
      <w:autoSpaceDN w:val="1"/>
      <w:ind w:left="1700" w:firstLine="0"/>
      <w:jc w:val="both"/>
      <w:widowControl/>
      <w:wordWrap/>
    </w:pPr>
    <w:rPr>
      <w:shd w:val="clear"/>
      <w:sz w:val="21"/>
      <w:szCs w:val="21"/>
      <w:w w:val="100"/>
    </w:rPr>
  </w:style>
  <w:style w:styleId="PO33" w:type="paragraph">
    <w:name w:val="toc 6"/>
    <w:link w:val="PO-1"/>
    <w:qFormat/>
    <w:uiPriority w:val="33"/>
    <w:unhideWhenUsed/>
    <w:pPr>
      <w:autoSpaceDE w:val="1"/>
      <w:autoSpaceDN w:val="1"/>
      <w:ind w:left="2125" w:firstLine="0"/>
      <w:jc w:val="both"/>
      <w:widowControl/>
      <w:wordWrap/>
    </w:pPr>
    <w:rPr>
      <w:shd w:val="clear"/>
      <w:sz w:val="21"/>
      <w:szCs w:val="21"/>
      <w:w w:val="100"/>
    </w:rPr>
  </w:style>
  <w:style w:styleId="PO34" w:type="paragraph">
    <w:name w:val="toc 7"/>
    <w:link w:val="PO-1"/>
    <w:qFormat/>
    <w:uiPriority w:val="34"/>
    <w:unhideWhenUsed/>
    <w:pPr>
      <w:autoSpaceDE w:val="1"/>
      <w:autoSpaceDN w:val="1"/>
      <w:ind w:left="2550" w:firstLine="0"/>
      <w:jc w:val="both"/>
      <w:widowControl/>
      <w:wordWrap/>
    </w:pPr>
    <w:rPr>
      <w:shd w:val="clear"/>
      <w:sz w:val="21"/>
      <w:szCs w:val="21"/>
      <w:w w:val="100"/>
    </w:rPr>
  </w:style>
  <w:style w:styleId="PO35" w:type="paragraph">
    <w:name w:val="toc 8"/>
    <w:link w:val="PO-1"/>
    <w:qFormat/>
    <w:uiPriority w:val="35"/>
    <w:unhideWhenUsed/>
    <w:pPr>
      <w:autoSpaceDE w:val="1"/>
      <w:autoSpaceDN w:val="1"/>
      <w:ind w:left="2975" w:firstLine="0"/>
      <w:jc w:val="both"/>
      <w:widowControl/>
      <w:wordWrap/>
    </w:pPr>
    <w:rPr>
      <w:shd w:val="clear"/>
      <w:sz w:val="21"/>
      <w:szCs w:val="21"/>
      <w:w w:val="100"/>
    </w:rPr>
  </w:style>
  <w:style w:styleId="PO36" w:type="paragraph">
    <w:name w:val="toc 9"/>
    <w:link w:val="PO-1"/>
    <w:qFormat/>
    <w:uiPriority w:val="36"/>
    <w:unhideWhenUsed/>
    <w:pPr>
      <w:autoSpaceDE w:val="1"/>
      <w:autoSpaceDN w:val="1"/>
      <w:ind w:left="3400" w:firstLine="0"/>
      <w:jc w:val="both"/>
      <w:widowControl/>
      <w:wordWrap/>
    </w:pPr>
    <w:rPr>
      <w:shd w:val="clear"/>
      <w:sz w:val="21"/>
      <w:szCs w:val="21"/>
      <w:w w:val="100"/>
    </w:rPr>
  </w:style>
  <w:style w:default="1" w:styleId="PO37" w:type="table">
    <w:name w:val="Normal Table"/>
    <w:basedOn w:val="PO3"/>
    <w:uiPriority w:val="37"/>
    <w:tblPr>
      <w:tblCellMar>
        <w:bottom w:type="dxa" w:w="0"/>
        <w:left w:type="dxa" w:w="108"/>
        <w:right w:type="dxa" w:w="108"/>
        <w:top w:type="dxa" w:w="0"/>
      </w:tblCellMar>
      <w:tblInd w:type="dxa" w:w="0"/>
    </w:tblPr>
  </w:style>
  <w:style w:styleId="PO152" w:type="paragraph">
    <w:name w:val="header"/>
    <w:basedOn w:val="PO1"/>
    <w:link w:val="PO153"/>
    <w:uiPriority w:val="152"/>
    <w:pPr>
      <w:autoSpaceDE w:val="1"/>
      <w:autoSpaceDN w:val="1"/>
      <w:jc w:val="center"/>
      <w:tabs>
        <w:tab w:val="center" w:pos="4153"/>
        <w:tab w:val="right" w:pos="8306"/>
      </w:tabs>
      <w:widowControl/>
      <w:wordWrap/>
    </w:pPr>
    <w:rPr>
      <w:rFonts w:ascii="Calibri" w:eastAsia="宋体" w:hAnsi="Calibri"/>
      <w:shd w:val="clear"/>
      <w:sz w:val="18"/>
      <w:szCs w:val="18"/>
      <w:w w:val="100"/>
    </w:rPr>
  </w:style>
  <w:style w:customStyle="1" w:styleId="PO153" w:type="character">
    <w:name w:val="页眉 Char"/>
    <w:basedOn w:val="PO2"/>
    <w:link w:val="PO152"/>
    <w:uiPriority w:val="153"/>
    <w:rPr>
      <w:shd w:val="clear"/>
      <w:sz w:val="18"/>
      <w:szCs w:val="18"/>
      <w:w w:val="100"/>
    </w:rPr>
  </w:style>
  <w:style w:styleId="PO154" w:type="paragraph">
    <w:name w:val="footer"/>
    <w:basedOn w:val="PO1"/>
    <w:link w:val="PO155"/>
    <w:uiPriority w:val="154"/>
    <w:pPr>
      <w:autoSpaceDE w:val="1"/>
      <w:autoSpaceDN w:val="1"/>
      <w:tabs>
        <w:tab w:val="center" w:pos="4153"/>
        <w:tab w:val="right" w:pos="8306"/>
      </w:tabs>
      <w:widowControl/>
      <w:wordWrap/>
    </w:pPr>
    <w:rPr>
      <w:rFonts w:ascii="Calibri" w:eastAsia="宋体" w:hAnsi="Calibri"/>
      <w:shd w:val="clear"/>
      <w:sz w:val="18"/>
      <w:szCs w:val="18"/>
      <w:w w:val="100"/>
    </w:rPr>
  </w:style>
  <w:style w:customStyle="1" w:styleId="PO155" w:type="character">
    <w:name w:val="页脚 Char"/>
    <w:basedOn w:val="PO2"/>
    <w:link w:val="PO154"/>
    <w:uiPriority w:val="155"/>
    <w:rPr>
      <w:shd w:val="clear"/>
      <w:sz w:val="18"/>
      <w:szCs w:val="18"/>
      <w:w w:val="100"/>
    </w:rPr>
  </w:style>
  <w:style w:styleId="PO156" w:type="paragraph">
    <w:name w:val="Balloon Text"/>
    <w:basedOn w:val="PO1"/>
    <w:link w:val="PO157"/>
    <w:uiPriority w:val="156"/>
    <w:pPr>
      <w:autoSpaceDE w:val="1"/>
      <w:autoSpaceDN w:val="1"/>
      <w:jc w:val="both"/>
      <w:widowControl/>
      <w:wordWrap/>
    </w:pPr>
    <w:rPr>
      <w:rFonts w:ascii="Calibri" w:eastAsia="宋体" w:hAnsi="Calibri"/>
      <w:shd w:val="clear"/>
      <w:sz w:val="18"/>
      <w:szCs w:val="18"/>
      <w:w w:val="100"/>
    </w:rPr>
  </w:style>
  <w:style w:customStyle="1" w:styleId="PO157" w:type="character">
    <w:name w:val="批注框文本 Char"/>
    <w:basedOn w:val="PO2"/>
    <w:link w:val="PO156"/>
    <w:uiPriority w:val="157"/>
    <w:rPr>
      <w:shd w:val="clear"/>
      <w:sz w:val="18"/>
      <w:szCs w:val="18"/>
      <w:w w:val="1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Id="rId1" Type="http://schemas.openxmlformats.org/officeDocument/2006/relationships/webSettings" Target="webSettings.xml"></Relationship><Relationship Id="rId2" Type="http://schemas.openxmlformats.org/officeDocument/2006/relationships/fontTable" Target="fontTable.xml"></Relationship><Relationship Id="rId3" Type="http://schemas.openxmlformats.org/officeDocument/2006/relationships/settings" Target="settings.xml"></Relationship><Relationship Id="rId4" Type="http://schemas.openxmlformats.org/officeDocument/2006/relationships/styles" Target="styles.xml"></Relationship><Relationship Id="rId5" Type="http://schemas.openxmlformats.org/officeDocument/2006/relationships/image" Target="media/fImage6477791141.jpeg"></Relationship><Relationship Id="rId6" Type="http://schemas.openxmlformats.org/officeDocument/2006/relationships/numbering" Target="numbering.xml"></Relationship><Relationship Id="rId7" Type="http://schemas.openxmlformats.org/officeDocument/2006/relationships/theme" Target="theme/theme1.xml"></Relationship></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JisuOffice Write</Application>
  <AppVersion>12.000</AppVersion>
  <Characters>0</Characters>
  <CharactersWithSpaces>0</CharactersWithSpaces>
  <Company>dell</Company>
  <DocSecurity>0</DocSecurity>
  <HyperlinksChanged>false</HyperlinksChanged>
  <Lines>6</Lines>
  <LinksUpToDate>false</LinksUpToDate>
  <Pages>2</Pages>
  <Paragraphs>1</Paragraphs>
  <Words>129</Words>
  <TotalTime>0</TotalTime>
  <MMClips>0</MMClips>
  <ScaleCrop>false</ScaleCrop>
  <HeadingPairs>
    <vt:vector size="2" baseType="variant">
      <vt:variant>
        <vt:lpstr>제목</vt:lpstr>
      </vt:variant>
      <vt:variant>
        <vt:i4>1</vt:i4>
      </vt:variant>
    </vt:vector>
  </HeadingPairs>
  <TitlesOfParts>
    <vt:vector size="1" baseType="lpstr">
      <vt:lpstr>Title text</vt:lpstr>
    </vt:vector>
  </TitlesOfParts>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dc:creator>dell</dc:creator>
  <cp:lastModifiedBy/>
  <dcterms:modified xsi:type="dcterms:W3CDTF">2017-04-11T02:52:00Z</dcterms:modified>
</cp:coreProperties>
</file>